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38" w:name="content"/>
    <w:bookmarkStart w:id="27" w:name="diseases-identifiable-from-lab-reports"/>
    <w:p>
      <w:pPr>
        <w:pStyle w:val="Heading1"/>
      </w:pPr>
      <w:r>
        <w:t xml:space="preserve">Diseases Identifiable from Lab Reports</w:t>
      </w:r>
    </w:p>
    <w:p>
      <w:pPr>
        <w:pStyle w:val="FirstParagraph"/>
      </w:pPr>
      <w:r>
        <w:t xml:space="preserve">Laboratory test values can reveal a wide range of conditions. For example,</w:t>
      </w:r>
      <w:r>
        <w:t xml:space="preserve"> </w:t>
      </w:r>
      <w:r>
        <w:rPr>
          <w:b/>
          <w:bCs/>
        </w:rPr>
        <w:t xml:space="preserve">blood glucose tests</w:t>
      </w:r>
      <w:r>
        <w:t xml:space="preserve"> </w:t>
      </w:r>
      <w:r>
        <w:t xml:space="preserve">are used to diagnose and monitor diabetes</w:t>
      </w:r>
      <w:hyperlink r:id="rId21">
        <w:r>
          <w:rPr>
            <w:rStyle w:val="Hyperlink"/>
          </w:rPr>
          <w:t xml:space="preserve">[1]</w:t>
        </w:r>
      </w:hyperlink>
      <w:r>
        <w:t xml:space="preserve">. Lipid panels (cholesterol and triglycerides) assess cardiovascular risk – high LDL or triglycerides signal increased heart disease risk</w:t>
      </w:r>
      <w:hyperlink r:id="rId22">
        <w:r>
          <w:rPr>
            <w:rStyle w:val="Hyperlink"/>
          </w:rPr>
          <w:t xml:space="preserve">[2]</w:t>
        </w:r>
      </w:hyperlink>
      <w:hyperlink r:id="rId23">
        <w:r>
          <w:rPr>
            <w:rStyle w:val="Hyperlink"/>
          </w:rPr>
          <w:t xml:space="preserve">[3]</w:t>
        </w:r>
      </w:hyperlink>
      <w:r>
        <w:t xml:space="preserve">. A complete blood count (CBC) can detect</w:t>
      </w:r>
      <w:r>
        <w:t xml:space="preserve"> </w:t>
      </w:r>
      <w:r>
        <w:rPr>
          <w:b/>
          <w:bCs/>
        </w:rPr>
        <w:t xml:space="preserve">anemia</w:t>
      </w:r>
      <w:r>
        <w:t xml:space="preserve">, infections, clotting disorders or blood cancers</w:t>
      </w:r>
      <w:hyperlink r:id="rId24">
        <w:r>
          <w:rPr>
            <w:rStyle w:val="Hyperlink"/>
          </w:rPr>
          <w:t xml:space="preserve">[4]</w:t>
        </w:r>
      </w:hyperlink>
      <w:hyperlink r:id="rId25">
        <w:r>
          <w:rPr>
            <w:rStyle w:val="Hyperlink"/>
          </w:rPr>
          <w:t xml:space="preserve">[5]</w:t>
        </w:r>
      </w:hyperlink>
      <w:r>
        <w:t xml:space="preserve">. Abnormal kidney or liver function tests (creatinine, BUN, AST/ALT, bilirubin) suggest renal or hepatic disease. Hormone tests (e.g. TSH) catch thyroid disorders, and inflammatory markers (CRP, ESR) indicate infection or inflammation.</w:t>
      </w:r>
      <w:r>
        <w:t xml:space="preserve"> </w:t>
      </w:r>
      <w:r>
        <w:rPr>
          <w:b/>
          <w:bCs/>
        </w:rPr>
        <w:t xml:space="preserve">Example findings:</w:t>
      </w:r>
      <w:r>
        <w:t xml:space="preserve"> </w:t>
      </w:r>
      <w:r>
        <w:t xml:space="preserve">an elevated fasting glucose (high diabetes risk)</w:t>
      </w:r>
      <w:hyperlink r:id="rId21">
        <w:r>
          <w:rPr>
            <w:rStyle w:val="Hyperlink"/>
          </w:rPr>
          <w:t xml:space="preserve">[1]</w:t>
        </w:r>
      </w:hyperlink>
      <w:r>
        <w:t xml:space="preserve">; a markedly high troponin or CK-MB indicating a heart attack</w:t>
      </w:r>
      <w:hyperlink r:id="rId26">
        <w:r>
          <w:rPr>
            <w:rStyle w:val="Hyperlink"/>
          </w:rPr>
          <w:t xml:space="preserve">[6]</w:t>
        </w:r>
      </w:hyperlink>
      <w:r>
        <w:t xml:space="preserve">; or very high LDL cholesterol pointing to atherosclerosis</w:t>
      </w:r>
      <w:hyperlink r:id="rId22">
        <w:r>
          <w:rPr>
            <w:rStyle w:val="Hyperlink"/>
          </w:rPr>
          <w:t xml:space="preserve">[2]</w:t>
        </w:r>
      </w:hyperlink>
      <w:r>
        <w:t xml:space="preserve">. In summary, lab reports can flag conditions like diabetes, heart and kidney disease, liver dysfunction, anemia, infection, and more</w:t>
      </w:r>
      <w:hyperlink r:id="rId25">
        <w:r>
          <w:rPr>
            <w:rStyle w:val="Hyperlink"/>
          </w:rPr>
          <w:t xml:space="preserve">[5]</w:t>
        </w:r>
      </w:hyperlink>
      <w:hyperlink r:id="rId22">
        <w:r>
          <w:rPr>
            <w:rStyle w:val="Hyperlink"/>
          </w:rPr>
          <w:t xml:space="preserve">[2]</w:t>
        </w:r>
      </w:hyperlink>
      <w:r>
        <w:t xml:space="preserve">.</w:t>
      </w:r>
    </w:p>
    <w:p>
      <w:pPr>
        <w:pStyle w:val="Compact"/>
        <w:numPr>
          <w:ilvl w:val="0"/>
          <w:numId w:val="1001"/>
        </w:numPr>
      </w:pPr>
      <w:r>
        <w:rPr>
          <w:b/>
          <w:bCs/>
        </w:rPr>
        <w:t xml:space="preserve">Metabolic/Endocrine:</w:t>
      </w:r>
      <w:r>
        <w:t xml:space="preserve"> </w:t>
      </w:r>
      <w:r>
        <w:t xml:space="preserve">High blood glucose or HbA1c → diabetes</w:t>
      </w:r>
      <w:hyperlink r:id="rId21">
        <w:r>
          <w:rPr>
            <w:rStyle w:val="Hyperlink"/>
          </w:rPr>
          <w:t xml:space="preserve">[1]</w:t>
        </w:r>
      </w:hyperlink>
      <w:r>
        <w:t xml:space="preserve">; abnormal calcium, thyroid hormones → endocrine disorders.</w:t>
      </w:r>
    </w:p>
    <w:p>
      <w:pPr>
        <w:pStyle w:val="Compact"/>
        <w:numPr>
          <w:ilvl w:val="0"/>
          <w:numId w:val="1001"/>
        </w:numPr>
      </w:pPr>
      <w:r>
        <w:rPr>
          <w:b/>
          <w:bCs/>
        </w:rPr>
        <w:t xml:space="preserve">Cardiovascular:</w:t>
      </w:r>
      <w:r>
        <w:t xml:space="preserve"> </w:t>
      </w:r>
      <w:r>
        <w:t xml:space="preserve">High LDL/triglycerides or troponin → heart disease/heart attack</w:t>
      </w:r>
      <w:hyperlink r:id="rId22">
        <w:r>
          <w:rPr>
            <w:rStyle w:val="Hyperlink"/>
          </w:rPr>
          <w:t xml:space="preserve">[2]</w:t>
        </w:r>
      </w:hyperlink>
      <w:hyperlink r:id="rId26">
        <w:r>
          <w:rPr>
            <w:rStyle w:val="Hyperlink"/>
          </w:rPr>
          <w:t xml:space="preserve">[6]</w:t>
        </w:r>
      </w:hyperlink>
      <w:r>
        <w:t xml:space="preserve">.</w:t>
      </w:r>
    </w:p>
    <w:p>
      <w:pPr>
        <w:pStyle w:val="Compact"/>
        <w:numPr>
          <w:ilvl w:val="0"/>
          <w:numId w:val="1001"/>
        </w:numPr>
      </w:pPr>
      <w:r>
        <w:rPr>
          <w:b/>
          <w:bCs/>
        </w:rPr>
        <w:t xml:space="preserve">Hematological:</w:t>
      </w:r>
      <w:r>
        <w:t xml:space="preserve"> </w:t>
      </w:r>
      <w:r>
        <w:t xml:space="preserve">Low hemoglobin/hematocrit → anemia; abnormal WBC count → infection or leukemia</w:t>
      </w:r>
      <w:hyperlink r:id="rId24">
        <w:r>
          <w:rPr>
            <w:rStyle w:val="Hyperlink"/>
          </w:rPr>
          <w:t xml:space="preserve">[4]</w:t>
        </w:r>
      </w:hyperlink>
      <w:hyperlink r:id="rId25">
        <w:r>
          <w:rPr>
            <w:rStyle w:val="Hyperlink"/>
          </w:rPr>
          <w:t xml:space="preserve">[5]</w:t>
        </w:r>
      </w:hyperlink>
      <w:r>
        <w:t xml:space="preserve">.</w:t>
      </w:r>
    </w:p>
    <w:p>
      <w:pPr>
        <w:pStyle w:val="Compact"/>
        <w:numPr>
          <w:ilvl w:val="0"/>
          <w:numId w:val="1001"/>
        </w:numPr>
      </w:pPr>
      <w:r>
        <w:rPr>
          <w:b/>
          <w:bCs/>
        </w:rPr>
        <w:t xml:space="preserve">Renal/Liver:</w:t>
      </w:r>
      <w:r>
        <w:t xml:space="preserve"> </w:t>
      </w:r>
      <w:r>
        <w:t xml:space="preserve">Elevated creatinine, BUN → kidney disease; high AST/ALT or bilirubin → liver injury.</w:t>
      </w:r>
    </w:p>
    <w:p>
      <w:pPr>
        <w:pStyle w:val="Compact"/>
        <w:numPr>
          <w:ilvl w:val="0"/>
          <w:numId w:val="1001"/>
        </w:numPr>
      </w:pPr>
      <w:r>
        <w:rPr>
          <w:b/>
          <w:bCs/>
        </w:rPr>
        <w:t xml:space="preserve">Infectious/Inflammatory:</w:t>
      </w:r>
      <w:r>
        <w:t xml:space="preserve"> </w:t>
      </w:r>
      <w:r>
        <w:t xml:space="preserve">Elevated WBC or CRP/ESR → infection/inflammation</w:t>
      </w:r>
      <w:hyperlink r:id="rId25">
        <w:r>
          <w:rPr>
            <w:rStyle w:val="Hyperlink"/>
          </w:rPr>
          <w:t xml:space="preserve">[5]</w:t>
        </w:r>
      </w:hyperlink>
      <w:r>
        <w:t xml:space="preserve">.</w:t>
      </w:r>
    </w:p>
    <w:p>
      <w:pPr>
        <w:pStyle w:val="Compact"/>
        <w:numPr>
          <w:ilvl w:val="0"/>
          <w:numId w:val="1001"/>
        </w:numPr>
      </w:pPr>
      <w:r>
        <w:rPr>
          <w:b/>
          <w:bCs/>
        </w:rPr>
        <w:t xml:space="preserve">Others:</w:t>
      </w:r>
      <w:r>
        <w:t xml:space="preserve"> </w:t>
      </w:r>
      <w:r>
        <w:t xml:space="preserve">Nutrient deficiencies (low B12, iron), autoantibodies (rheumatic diseases), and cancer markers (e.g. PSA) can also be indicated.</w:t>
      </w:r>
    </w:p>
    <w:bookmarkEnd w:id="27"/>
    <w:bookmarkStart w:id="30" w:name="X14b7726bfd388094eab6c9ac26bc0f110a5538f"/>
    <w:p>
      <w:pPr>
        <w:pStyle w:val="Heading1"/>
      </w:pPr>
      <w:r>
        <w:t xml:space="preserve">Communicating Results to Doctors and Patients</w:t>
      </w:r>
    </w:p>
    <w:p>
      <w:pPr>
        <w:pStyle w:val="FirstParagraph"/>
      </w:pPr>
      <w:r>
        <w:t xml:space="preserve">The AI assistant should present findings factually, clearly, and sensitively. All interpretations must be evidence-based and cite clinical guidelines or data</w:t>
      </w:r>
      <w:hyperlink r:id="rId28">
        <w:r>
          <w:rPr>
            <w:rStyle w:val="Hyperlink"/>
          </w:rPr>
          <w:t xml:space="preserve">[7]</w:t>
        </w:r>
      </w:hyperlink>
      <w:hyperlink r:id="rId29">
        <w:r>
          <w:rPr>
            <w:rStyle w:val="Hyperlink"/>
          </w:rPr>
          <w:t xml:space="preserve">[8]</w:t>
        </w:r>
      </w:hyperlink>
      <w:r>
        <w:t xml:space="preserve">. For</w:t>
      </w:r>
      <w:r>
        <w:t xml:space="preserve"> </w:t>
      </w:r>
      <w:r>
        <w:rPr>
          <w:b/>
          <w:bCs/>
        </w:rPr>
        <w:t xml:space="preserve">doctors</w:t>
      </w:r>
      <w:r>
        <w:t xml:space="preserve">, the system can generate concise summaries: highlight abnormal results, show trends (e.g. charts of blood pressure or glucose over time), and reference relevant guidelines or studies (e.g. “LDL &gt;130 mg/dL – see AHA cholesterol guidelines”). For</w:t>
      </w:r>
      <w:r>
        <w:t xml:space="preserve"> </w:t>
      </w:r>
      <w:r>
        <w:rPr>
          <w:b/>
          <w:bCs/>
        </w:rPr>
        <w:t xml:space="preserve">patients</w:t>
      </w:r>
      <w:r>
        <w:t xml:space="preserve">, the assistant should use plain language and actionable advice. For instance: “Your fasting blood sugar is 140 mg/dL (normal &lt;100), which suggests pre-diabetes</w:t>
      </w:r>
      <w:hyperlink r:id="rId21">
        <w:r>
          <w:rPr>
            <w:rStyle w:val="Hyperlink"/>
          </w:rPr>
          <w:t xml:space="preserve">[1]</w:t>
        </w:r>
      </w:hyperlink>
      <w:r>
        <w:t xml:space="preserve">. Consider diet/exercise changes as per ADA recommendations.” The goal is</w:t>
      </w:r>
      <w:r>
        <w:t xml:space="preserve"> </w:t>
      </w:r>
      <w:r>
        <w:rPr>
          <w:i/>
          <w:iCs/>
        </w:rPr>
        <w:t xml:space="preserve">patient-centered communication</w:t>
      </w:r>
      <w:r>
        <w:t xml:space="preserve">: explain conditions and next steps (tests, lifestyle changes, or referrals) in an understandable way. Both doctors and patients should receive results</w:t>
      </w:r>
      <w:r>
        <w:t xml:space="preserve"> </w:t>
      </w:r>
      <w:r>
        <w:rPr>
          <w:b/>
          <w:bCs/>
        </w:rPr>
        <w:t xml:space="preserve">timely and confidentially</w:t>
      </w:r>
      <w:r>
        <w:t xml:space="preserve">. As AMA ethics advise, test results must be conveyed “sensitively, in a way that is understandable to the patient…with information needed to make well-considered decisions”</w:t>
      </w:r>
      <w:hyperlink r:id="rId28">
        <w:r>
          <w:rPr>
            <w:rStyle w:val="Hyperlink"/>
          </w:rPr>
          <w:t xml:space="preserve">[7]</w:t>
        </w:r>
      </w:hyperlink>
      <w:r>
        <w:t xml:space="preserve">. Likewise, India’s Medical Ethics Code urges physicians to ensure patients and families “have such knowledge of the patient’s condition as will serve the best interests of the patient”</w:t>
      </w:r>
      <w:hyperlink r:id="rId29">
        <w:r>
          <w:rPr>
            <w:rStyle w:val="Hyperlink"/>
          </w:rPr>
          <w:t xml:space="preserve">[8]</w:t>
        </w:r>
      </w:hyperlink>
      <w:r>
        <w:t xml:space="preserve">. In practice, the AI output should</w:t>
      </w:r>
      <w:r>
        <w:t xml:space="preserve"> </w:t>
      </w:r>
      <w:r>
        <w:rPr>
          <w:b/>
          <w:bCs/>
        </w:rPr>
        <w:t xml:space="preserve">never replace a doctor’s judgment</w:t>
      </w:r>
      <w:r>
        <w:t xml:space="preserve">, but support it with data-driven insights. For example, if the AI flags a potential drug interaction or risk (based on the consolidated record), it should cite the evidence (e.g. drug monograph) and suggest the doctor review or adjust treatment. In summary, information delivered should be</w:t>
      </w:r>
      <w:r>
        <w:t xml:space="preserve"> </w:t>
      </w:r>
      <w:r>
        <w:rPr>
          <w:b/>
          <w:bCs/>
        </w:rPr>
        <w:t xml:space="preserve">transparent, accurate and patient-centered</w:t>
      </w:r>
      <w:r>
        <w:t xml:space="preserve">, always backed by credible sources</w:t>
      </w:r>
      <w:hyperlink r:id="rId28">
        <w:r>
          <w:rPr>
            <w:rStyle w:val="Hyperlink"/>
          </w:rPr>
          <w:t xml:space="preserve">[7]</w:t>
        </w:r>
      </w:hyperlink>
      <w:hyperlink r:id="rId29">
        <w:r>
          <w:rPr>
            <w:rStyle w:val="Hyperlink"/>
          </w:rPr>
          <w:t xml:space="preserve">[8]</w:t>
        </w:r>
      </w:hyperlink>
      <w:r>
        <w:t xml:space="preserve">.</w:t>
      </w:r>
    </w:p>
    <w:bookmarkEnd w:id="30"/>
    <w:bookmarkStart w:id="33" w:name="indian-medical-and-ai-guidelines"/>
    <w:p>
      <w:pPr>
        <w:pStyle w:val="Heading1"/>
      </w:pPr>
      <w:r>
        <w:t xml:space="preserve">Indian Medical and AI Guidelines</w:t>
      </w:r>
    </w:p>
    <w:p>
      <w:pPr>
        <w:pStyle w:val="FirstParagraph"/>
      </w:pPr>
      <w:r>
        <w:t xml:space="preserve">India’s digital-health initiatives emphasize privacy, security and ethics. The</w:t>
      </w:r>
      <w:r>
        <w:t xml:space="preserve"> </w:t>
      </w:r>
      <w:r>
        <w:rPr>
          <w:b/>
          <w:bCs/>
        </w:rPr>
        <w:t xml:space="preserve">Ayushman Bharat Digital Mission (ABDM)</w:t>
      </w:r>
      <w:r>
        <w:t xml:space="preserve"> </w:t>
      </w:r>
      <w:r>
        <w:t xml:space="preserve">provides frameworks for unique health IDs (ABHA), interoperable records, and consent-driven data exchange</w:t>
      </w:r>
      <w:hyperlink r:id="rId31">
        <w:r>
          <w:rPr>
            <w:rStyle w:val="Hyperlink"/>
          </w:rPr>
          <w:t xml:space="preserve">[9]</w:t>
        </w:r>
      </w:hyperlink>
      <w:r>
        <w:t xml:space="preserve">. ABDM mandates that all health data remain secure and private, aligning with the Digital Personal Data Protection (DPDP) Act of 2023</w:t>
      </w:r>
      <w:hyperlink r:id="rId31">
        <w:r>
          <w:rPr>
            <w:rStyle w:val="Hyperlink"/>
          </w:rPr>
          <w:t xml:space="preserve">[9]</w:t>
        </w:r>
      </w:hyperlink>
      <w:r>
        <w:t xml:space="preserve">. Specifically, ABDM’s architecture “ensures the security, confidentiality, and secure sharing of patient health information,” reflecting the DPDP Act’s mandate for data protection</w:t>
      </w:r>
      <w:hyperlink r:id="rId31">
        <w:r>
          <w:rPr>
            <w:rStyle w:val="Hyperlink"/>
          </w:rPr>
          <w:t xml:space="preserve">[9]</w:t>
        </w:r>
      </w:hyperlink>
      <w:r>
        <w:t xml:space="preserve">. On the regulatory side, the</w:t>
      </w:r>
      <w:r>
        <w:t xml:space="preserve"> </w:t>
      </w:r>
      <w:r>
        <w:rPr>
          <w:i/>
          <w:iCs/>
        </w:rPr>
        <w:t xml:space="preserve">National Digital Health Blueprint</w:t>
      </w:r>
      <w:r>
        <w:t xml:space="preserve"> </w:t>
      </w:r>
      <w:r>
        <w:t xml:space="preserve">and NDHM (ABDM) lay down technical and policy standards (e.g. FHIR standards, APIs, and access controls) to implement these laws.</w:t>
      </w:r>
    </w:p>
    <w:p>
      <w:pPr>
        <w:pStyle w:val="BodyText"/>
      </w:pPr>
      <w:r>
        <w:t xml:space="preserve">Beyond data laws,</w:t>
      </w:r>
      <w:r>
        <w:t xml:space="preserve"> </w:t>
      </w:r>
      <w:r>
        <w:rPr>
          <w:b/>
          <w:bCs/>
        </w:rPr>
        <w:t xml:space="preserve">medical ethics</w:t>
      </w:r>
      <w:r>
        <w:t xml:space="preserve"> </w:t>
      </w:r>
      <w:r>
        <w:t xml:space="preserve">and AI-specific guidelines apply. The National Medical Commission’s Code of Ethics requires doctors to keep accurate records and communicate truthfully with patients</w:t>
      </w:r>
      <w:hyperlink r:id="rId29">
        <w:r>
          <w:rPr>
            <w:rStyle w:val="Hyperlink"/>
          </w:rPr>
          <w:t xml:space="preserve">[8]</w:t>
        </w:r>
      </w:hyperlink>
      <w:r>
        <w:t xml:space="preserve">. In 2023, ICMR released</w:t>
      </w:r>
      <w:r>
        <w:t xml:space="preserve"> </w:t>
      </w:r>
      <w:r>
        <w:rPr>
          <w:i/>
          <w:iCs/>
        </w:rPr>
        <w:t xml:space="preserve">Ethical Guidelines for AI in Biomedical Research and Healthcare</w:t>
      </w:r>
      <w:r>
        <w:t xml:space="preserve">, which (though not easily accessible online) stress fairness, transparency, accountability and patient welfare in AI use. These recommend validating AI tools, avoiding bias, and protecting patient consent and privacy. Currently India has</w:t>
      </w:r>
      <w:r>
        <w:t xml:space="preserve"> </w:t>
      </w:r>
      <w:r>
        <w:rPr>
          <w:b/>
          <w:bCs/>
        </w:rPr>
        <w:t xml:space="preserve">no separate AI-in-healthcare law</w:t>
      </w:r>
      <w:r>
        <w:t xml:space="preserve">; AI solutions must comply with existing IT and health regulations</w:t>
      </w:r>
      <w:hyperlink r:id="rId32">
        <w:r>
          <w:rPr>
            <w:rStyle w:val="Hyperlink"/>
          </w:rPr>
          <w:t xml:space="preserve">[10]</w:t>
        </w:r>
      </w:hyperlink>
      <w:r>
        <w:t xml:space="preserve">. The Ministry of Electronics and IT and NITI Aayog have published broad AI strategies (e.g. the 2018 National Strategy on AI) emphasizing healthcare as a priority domain, but legally the DPDP Act and</w:t>
      </w:r>
      <w:r>
        <w:t xml:space="preserve"> </w:t>
      </w:r>
      <w:r>
        <w:rPr>
          <w:b/>
          <w:bCs/>
        </w:rPr>
        <w:t xml:space="preserve">DISHA</w:t>
      </w:r>
      <w:r>
        <w:t xml:space="preserve"> </w:t>
      </w:r>
      <w:r>
        <w:t xml:space="preserve">(Digital Information Security in Healthcare, a proposed act) are the main data-regulatory frameworks. In practice, any AI-driven system in healthcare must adhere to (1) patient-rights under DPDP 2023, (2) ABDM interoperability and consent rules</w:t>
      </w:r>
      <w:hyperlink r:id="rId31">
        <w:r>
          <w:rPr>
            <w:rStyle w:val="Hyperlink"/>
          </w:rPr>
          <w:t xml:space="preserve">[9]</w:t>
        </w:r>
      </w:hyperlink>
      <w:r>
        <w:t xml:space="preserve">, and (3) doctors’ ethical duties (e.g. informed consent, confidentiality) as per NMC.</w:t>
      </w:r>
    </w:p>
    <w:bookmarkEnd w:id="33"/>
    <w:bookmarkStart w:id="37" w:name="sources-of-dummyopen-medical-data"/>
    <w:p>
      <w:pPr>
        <w:pStyle w:val="Heading1"/>
      </w:pPr>
      <w:r>
        <w:t xml:space="preserve">Sources of Dummy/Open Medical Data</w:t>
      </w:r>
    </w:p>
    <w:p>
      <w:pPr>
        <w:pStyle w:val="FirstParagraph"/>
      </w:pPr>
      <w:r>
        <w:t xml:space="preserve">A variety of open or synthetic datasets exist for testing health-record analysis:</w:t>
      </w:r>
    </w:p>
    <w:p>
      <w:pPr>
        <w:pStyle w:val="Compact"/>
        <w:numPr>
          <w:ilvl w:val="0"/>
          <w:numId w:val="1002"/>
        </w:numPr>
      </w:pPr>
      <w:r>
        <w:rPr>
          <w:b/>
          <w:bCs/>
        </w:rPr>
        <w:t xml:space="preserve">Synthetic Patient Records (CSV/XML):</w:t>
      </w:r>
      <w:r>
        <w:t xml:space="preserve"> </w:t>
      </w:r>
      <w:r>
        <w:t xml:space="preserve">The open-source</w:t>
      </w:r>
      <w:r>
        <w:t xml:space="preserve"> </w:t>
      </w:r>
      <w:r>
        <w:rPr>
          <w:b/>
          <w:bCs/>
        </w:rPr>
        <w:t xml:space="preserve">Synthea</w:t>
      </w:r>
      <w:r>
        <w:t xml:space="preserve"> </w:t>
      </w:r>
      <w:r>
        <w:t xml:space="preserve">project (MITRE) can generate synthetic health histories. Synthea outputs millions of patient records (in HL7 FHIR, C-CDA XML, or CSV) covering encounters, medications and lab results</w:t>
      </w:r>
      <w:hyperlink r:id="rId34">
        <w:r>
          <w:rPr>
            <w:rStyle w:val="Hyperlink"/>
          </w:rPr>
          <w:t xml:space="preserve">[11]</w:t>
        </w:r>
      </w:hyperlink>
      <w:r>
        <w:t xml:space="preserve">. For example, its CSV export includes lab measurements over time. Researchers use Synthea to prototype EHR systems with realistic but non-identifiable data.</w:t>
      </w:r>
    </w:p>
    <w:p>
      <w:pPr>
        <w:pStyle w:val="Compact"/>
        <w:numPr>
          <w:ilvl w:val="0"/>
          <w:numId w:val="1002"/>
        </w:numPr>
      </w:pPr>
      <w:r>
        <w:rPr>
          <w:b/>
          <w:bCs/>
        </w:rPr>
        <w:t xml:space="preserve">Public Survey Data:</w:t>
      </w:r>
      <w:r>
        <w:t xml:space="preserve"> </w:t>
      </w:r>
      <w:r>
        <w:t xml:space="preserve">The US CDC’s</w:t>
      </w:r>
      <w:r>
        <w:t xml:space="preserve"> </w:t>
      </w:r>
      <w:r>
        <w:rPr>
          <w:b/>
          <w:bCs/>
        </w:rPr>
        <w:t xml:space="preserve">NHANES</w:t>
      </w:r>
      <w:r>
        <w:t xml:space="preserve"> </w:t>
      </w:r>
      <w:r>
        <w:t xml:space="preserve">survey provides de-identified health and lab data for tens of thousands of individuals. NHANES III (1988–94) has a freely downloadable</w:t>
      </w:r>
      <w:r>
        <w:t xml:space="preserve"> </w:t>
      </w:r>
      <w:r>
        <w:rPr>
          <w:i/>
          <w:iCs/>
        </w:rPr>
        <w:t xml:space="preserve">Laboratory Data File</w:t>
      </w:r>
      <w:r>
        <w:t xml:space="preserve"> </w:t>
      </w:r>
      <w:r>
        <w:t xml:space="preserve">(in DAT/CSV format) and accompanying PDFs</w:t>
      </w:r>
      <w:hyperlink r:id="rId35">
        <w:r>
          <w:rPr>
            <w:rStyle w:val="Hyperlink"/>
          </w:rPr>
          <w:t xml:space="preserve">[12]</w:t>
        </w:r>
      </w:hyperlink>
      <w:r>
        <w:t xml:space="preserve">. This includes real lab measurements (blood counts, glucose, cholesterol, etc.) from a representative population. Similar open surveys (e.g. NHANES 1999+) are also available.</w:t>
      </w:r>
    </w:p>
    <w:p>
      <w:pPr>
        <w:pStyle w:val="Compact"/>
        <w:numPr>
          <w:ilvl w:val="0"/>
          <w:numId w:val="1002"/>
        </w:numPr>
      </w:pPr>
      <w:r>
        <w:rPr>
          <w:b/>
          <w:bCs/>
        </w:rPr>
        <w:t xml:space="preserve">HL7/C-CDA Example Documents (XML):</w:t>
      </w:r>
      <w:r>
        <w:t xml:space="preserve"> </w:t>
      </w:r>
      <w:r>
        <w:t xml:space="preserve">The HL7 organization publishes example CDA/CCDA files, including lab results sections. For instance, the “Results with lab location” example is an XML-based CCDA snippet showing a urine test panel (“Specific gravity of Urine: 1.015” etc.) in structured form</w:t>
      </w:r>
      <w:hyperlink r:id="rId36">
        <w:r>
          <w:rPr>
            <w:rStyle w:val="Hyperlink"/>
          </w:rPr>
          <w:t xml:space="preserve">[13]</w:t>
        </w:r>
      </w:hyperlink>
      <w:r>
        <w:t xml:space="preserve">. These examples are not real patient data, but they illustrate document structure (XML) of lab reports and can be used to test XML parsing.</w:t>
      </w:r>
    </w:p>
    <w:p>
      <w:pPr>
        <w:pStyle w:val="Compact"/>
        <w:numPr>
          <w:ilvl w:val="0"/>
          <w:numId w:val="1002"/>
        </w:numPr>
      </w:pPr>
      <w:r>
        <w:rPr>
          <w:b/>
          <w:bCs/>
        </w:rPr>
        <w:t xml:space="preserve">Kaggle and Other Data Repositories:</w:t>
      </w:r>
      <w:r>
        <w:t xml:space="preserve"> </w:t>
      </w:r>
      <w:r>
        <w:t xml:space="preserve">Online repositories host synthetic and anonymized health datasets. For example, Kaggle has a</w:t>
      </w:r>
      <w:r>
        <w:t xml:space="preserve"> </w:t>
      </w:r>
      <w:r>
        <w:rPr>
          <w:b/>
          <w:bCs/>
        </w:rPr>
        <w:t xml:space="preserve">“Medical Lab Report Dataset”</w:t>
      </w:r>
      <w:r>
        <w:t xml:space="preserve"> </w:t>
      </w:r>
      <w:r>
        <w:t xml:space="preserve">(images/PDFs of lab reports) and a</w:t>
      </w:r>
      <w:r>
        <w:t xml:space="preserve"> </w:t>
      </w:r>
      <w:r>
        <w:rPr>
          <w:b/>
          <w:bCs/>
        </w:rPr>
        <w:t xml:space="preserve">“Healthcare Dataset”</w:t>
      </w:r>
      <w:r>
        <w:t xml:space="preserve"> </w:t>
      </w:r>
      <w:r>
        <w:t xml:space="preserve">with ~10,000 synthetic patient records (CSV) covering demographics, vitals and labs. (These require Kaggle login to download.) Also, datasets like MIMIC-III (ICU data with labs) or eICU exist – though they require credentialing. The Indian Open Government Data portal and health ministries occasionally publish aggregated health statistics, but individual reports are sparse. Nonetheless, the sources above (Synthea, NHANES, HL7 examples, Kaggle) should suffice to obtain dummy lab reports in PDF/XML and patient histories in CSV form for an AI assistant to train or test on</w:t>
      </w:r>
      <w:hyperlink r:id="rId34">
        <w:r>
          <w:rPr>
            <w:rStyle w:val="Hyperlink"/>
          </w:rPr>
          <w:t xml:space="preserve">[11]</w:t>
        </w:r>
      </w:hyperlink>
      <w:hyperlink r:id="rId35">
        <w:r>
          <w:rPr>
            <w:rStyle w:val="Hyperlink"/>
          </w:rPr>
          <w:t xml:space="preserve">[12]</w:t>
        </w:r>
      </w:hyperlink>
      <w:r>
        <w:t xml:space="preserve">.</w:t>
      </w:r>
    </w:p>
    <w:p>
      <w:pPr>
        <w:pStyle w:val="FirstParagraph"/>
      </w:pPr>
      <w:r>
        <w:rPr>
          <w:b/>
          <w:bCs/>
        </w:rPr>
        <w:t xml:space="preserve">Sources:</w:t>
      </w:r>
      <w:r>
        <w:t xml:space="preserve"> </w:t>
      </w:r>
      <w:r>
        <w:t xml:space="preserve">Authoritative guides on lab tests (MedlinePlus, NIH) and clinical informatics literature</w:t>
      </w:r>
      <w:hyperlink r:id="rId23">
        <w:r>
          <w:rPr>
            <w:rStyle w:val="Hyperlink"/>
          </w:rPr>
          <w:t xml:space="preserve">[3]</w:t>
        </w:r>
      </w:hyperlink>
      <w:hyperlink r:id="rId22">
        <w:r>
          <w:rPr>
            <w:rStyle w:val="Hyperlink"/>
          </w:rPr>
          <w:t xml:space="preserve">[2]</w:t>
        </w:r>
      </w:hyperlink>
      <w:r>
        <w:t xml:space="preserve">; AMA/NMC ethics codes</w:t>
      </w:r>
      <w:hyperlink r:id="rId28">
        <w:r>
          <w:rPr>
            <w:rStyle w:val="Hyperlink"/>
          </w:rPr>
          <w:t xml:space="preserve">[7]</w:t>
        </w:r>
      </w:hyperlink>
      <w:hyperlink r:id="rId29">
        <w:r>
          <w:rPr>
            <w:rStyle w:val="Hyperlink"/>
          </w:rPr>
          <w:t xml:space="preserve">[8]</w:t>
        </w:r>
      </w:hyperlink>
      <w:r>
        <w:t xml:space="preserve">; Indian policy documents (ABDM press release</w:t>
      </w:r>
      <w:hyperlink r:id="rId31">
        <w:r>
          <w:rPr>
            <w:rStyle w:val="Hyperlink"/>
          </w:rPr>
          <w:t xml:space="preserve">[9]</w:t>
        </w:r>
      </w:hyperlink>
      <w:r>
        <w:t xml:space="preserve"> </w:t>
      </w:r>
      <w:r>
        <w:t xml:space="preserve">and legal reviews</w:t>
      </w:r>
      <w:hyperlink r:id="rId32">
        <w:r>
          <w:rPr>
            <w:rStyle w:val="Hyperlink"/>
          </w:rPr>
          <w:t xml:space="preserve">[10]</w:t>
        </w:r>
      </w:hyperlink>
      <w:r>
        <w:t xml:space="preserve">); and open data portals (Synthea, CDC)</w:t>
      </w:r>
      <w:hyperlink r:id="rId34">
        <w:r>
          <w:rPr>
            <w:rStyle w:val="Hyperlink"/>
          </w:rPr>
          <w:t xml:space="preserve">[11]</w:t>
        </w:r>
      </w:hyperlink>
      <w:hyperlink r:id="rId35">
        <w:r>
          <w:rPr>
            <w:rStyle w:val="Hyperlink"/>
          </w:rPr>
          <w:t xml:space="preserve">[12]</w:t>
        </w:r>
      </w:hyperlink>
      <w:r>
        <w:t xml:space="preserve">, as cited above.</w:t>
      </w:r>
    </w:p>
    <w:bookmarkEnd w:id="37"/>
    <w:bookmarkEnd w:id="38"/>
    <w:p>
      <w:r>
        <w:pict>
          <v:rect style="width:0;height:1.5pt" o:hralign="center" o:hrstd="t" o:hr="t"/>
        </w:pict>
      </w:r>
    </w:p>
    <w:bookmarkStart w:id="49" w:name="citations"/>
    <w:p>
      <w:pPr>
        <w:pStyle w:val="FirstParagraph"/>
      </w:pPr>
      <w:hyperlink r:id="rId21">
        <w:r>
          <w:rPr>
            <w:rStyle w:val="Hyperlink"/>
          </w:rPr>
          <w:t xml:space="preserve">[1]</w:t>
        </w:r>
      </w:hyperlink>
      <w:r>
        <w:t xml:space="preserve"> </w:t>
      </w:r>
      <w:hyperlink r:id="rId23">
        <w:r>
          <w:rPr>
            <w:rStyle w:val="Hyperlink"/>
          </w:rPr>
          <w:t xml:space="preserve">[3]</w:t>
        </w:r>
      </w:hyperlink>
      <w:r>
        <w:t xml:space="preserve"> </w:t>
      </w:r>
      <w:r>
        <w:t xml:space="preserve">How to Understand Your Lab Results: MedlinePlus Medical Test</w:t>
      </w:r>
    </w:p>
    <w:p>
      <w:pPr>
        <w:pStyle w:val="BodyText"/>
      </w:pPr>
      <w:hyperlink r:id="rId39">
        <w:r>
          <w:rPr>
            <w:rStyle w:val="Hyperlink"/>
          </w:rPr>
          <w:t xml:space="preserve">https://medlineplus.gov/lab-tests/how-to-understand-your-lab-results/</w:t>
        </w:r>
      </w:hyperlink>
    </w:p>
    <w:p>
      <w:pPr>
        <w:pStyle w:val="BodyText"/>
      </w:pPr>
      <w:hyperlink r:id="rId22">
        <w:r>
          <w:rPr>
            <w:rStyle w:val="Hyperlink"/>
          </w:rPr>
          <w:t xml:space="preserve">[2]</w:t>
        </w:r>
      </w:hyperlink>
      <w:r>
        <w:t xml:space="preserve"> </w:t>
      </w:r>
      <w:hyperlink r:id="rId24">
        <w:r>
          <w:rPr>
            <w:rStyle w:val="Hyperlink"/>
          </w:rPr>
          <w:t xml:space="preserve">[4]</w:t>
        </w:r>
      </w:hyperlink>
      <w:r>
        <w:t xml:space="preserve"> </w:t>
      </w:r>
      <w:hyperlink r:id="rId26">
        <w:r>
          <w:rPr>
            <w:rStyle w:val="Hyperlink"/>
          </w:rPr>
          <w:t xml:space="preserve">[6]</w:t>
        </w:r>
      </w:hyperlink>
      <w:r>
        <w:t xml:space="preserve"> </w:t>
      </w:r>
      <w:r>
        <w:t xml:space="preserve">Blood Tests - Blood Tests | NHLBI, NIH</w:t>
      </w:r>
    </w:p>
    <w:p>
      <w:pPr>
        <w:pStyle w:val="BodyText"/>
      </w:pPr>
      <w:hyperlink r:id="rId40">
        <w:r>
          <w:rPr>
            <w:rStyle w:val="Hyperlink"/>
          </w:rPr>
          <w:t xml:space="preserve">https://www.nhlbi.nih.gov/health/blood-tests</w:t>
        </w:r>
      </w:hyperlink>
    </w:p>
    <w:p>
      <w:pPr>
        <w:pStyle w:val="BodyText"/>
      </w:pPr>
      <w:hyperlink r:id="rId25">
        <w:r>
          <w:rPr>
            <w:rStyle w:val="Hyperlink"/>
          </w:rPr>
          <w:t xml:space="preserve">[5]</w:t>
        </w:r>
      </w:hyperlink>
      <w:r>
        <w:t xml:space="preserve"> </w:t>
      </w:r>
      <w:r>
        <w:t xml:space="preserve">10 Important Blood Tests: What They Show, Why They're Done, More</w:t>
      </w:r>
    </w:p>
    <w:p>
      <w:pPr>
        <w:pStyle w:val="BodyText"/>
      </w:pPr>
      <w:hyperlink r:id="rId41">
        <w:r>
          <w:rPr>
            <w:rStyle w:val="Hyperlink"/>
          </w:rPr>
          <w:t xml:space="preserve">https://www.healthline.com/health/blood-tests</w:t>
        </w:r>
      </w:hyperlink>
    </w:p>
    <w:p>
      <w:pPr>
        <w:pStyle w:val="BodyText"/>
      </w:pPr>
      <w:hyperlink r:id="rId28">
        <w:r>
          <w:rPr>
            <w:rStyle w:val="Hyperlink"/>
          </w:rPr>
          <w:t xml:space="preserve">[7]</w:t>
        </w:r>
      </w:hyperlink>
      <w:r>
        <w:t xml:space="preserve"> </w:t>
      </w:r>
      <w:r>
        <w:t xml:space="preserve">Reporting Clinical Test Results | AMA-Code</w:t>
      </w:r>
    </w:p>
    <w:p>
      <w:pPr>
        <w:pStyle w:val="BodyText"/>
      </w:pPr>
      <w:hyperlink r:id="rId42">
        <w:r>
          <w:rPr>
            <w:rStyle w:val="Hyperlink"/>
          </w:rPr>
          <w:t xml:space="preserve">https://code-medical-ethics.ama-assn.org/ethics-opinions/reporting-clinical-test-results</w:t>
        </w:r>
      </w:hyperlink>
    </w:p>
    <w:p>
      <w:pPr>
        <w:pStyle w:val="BodyText"/>
      </w:pPr>
      <w:hyperlink r:id="rId29">
        <w:r>
          <w:rPr>
            <w:rStyle w:val="Hyperlink"/>
          </w:rPr>
          <w:t xml:space="preserve">[8]</w:t>
        </w:r>
      </w:hyperlink>
      <w:r>
        <w:t xml:space="preserve"> </w:t>
      </w:r>
      <w:r>
        <w:t xml:space="preserve"> </w:t>
      </w:r>
      <w:r>
        <w:t xml:space="preserve">Code of Medical Ethics Regulations, 2002 | NMC</w:t>
      </w:r>
      <w:r>
        <w:t xml:space="preserve"> </w:t>
      </w:r>
    </w:p>
    <w:p>
      <w:pPr>
        <w:pStyle w:val="BodyText"/>
      </w:pPr>
      <w:hyperlink r:id="rId43">
        <w:r>
          <w:rPr>
            <w:rStyle w:val="Hyperlink"/>
          </w:rPr>
          <w:t xml:space="preserve">https://www.nmc.org.in/rules-regulations/code-of-medical-ethics-regulations-2002/</w:t>
        </w:r>
      </w:hyperlink>
    </w:p>
    <w:p>
      <w:pPr>
        <w:pStyle w:val="BodyText"/>
      </w:pPr>
      <w:hyperlink r:id="rId31">
        <w:r>
          <w:rPr>
            <w:rStyle w:val="Hyperlink"/>
          </w:rPr>
          <w:t xml:space="preserve">[9]</w:t>
        </w:r>
      </w:hyperlink>
      <w:r>
        <w:t xml:space="preserve"> </w:t>
      </w:r>
      <w:r>
        <w:t xml:space="preserve">Ayushman Bharat Digital Mission marks a Transformative Three-Year Journey towards enabling Digital Health | Ministry of Health and Family Welfare | GOI</w:t>
      </w:r>
    </w:p>
    <w:p>
      <w:pPr>
        <w:pStyle w:val="BodyText"/>
      </w:pPr>
      <w:hyperlink r:id="rId44">
        <w:r>
          <w:rPr>
            <w:rStyle w:val="Hyperlink"/>
          </w:rPr>
          <w:t xml:space="preserve">https://www.mohfw.gov.in/?q=en/pressrelease-87</w:t>
        </w:r>
      </w:hyperlink>
    </w:p>
    <w:p>
      <w:pPr>
        <w:pStyle w:val="BodyText"/>
      </w:pPr>
      <w:hyperlink r:id="rId32">
        <w:r>
          <w:rPr>
            <w:rStyle w:val="Hyperlink"/>
          </w:rPr>
          <w:t xml:space="preserve">[10]</w:t>
        </w:r>
      </w:hyperlink>
      <w:r>
        <w:t xml:space="preserve"> </w:t>
      </w:r>
      <w:r>
        <w:t xml:space="preserve">Digital Health Laws and Regulations Report 2025 India</w:t>
      </w:r>
    </w:p>
    <w:p>
      <w:pPr>
        <w:pStyle w:val="BodyText"/>
      </w:pPr>
      <w:hyperlink r:id="rId45">
        <w:r>
          <w:rPr>
            <w:rStyle w:val="Hyperlink"/>
          </w:rPr>
          <w:t xml:space="preserve">https://iclg.com/practice-areas/digital-health-laws-and-regulations/india</w:t>
        </w:r>
      </w:hyperlink>
    </w:p>
    <w:p>
      <w:pPr>
        <w:pStyle w:val="BodyText"/>
      </w:pPr>
      <w:hyperlink r:id="rId34">
        <w:r>
          <w:rPr>
            <w:rStyle w:val="Hyperlink"/>
          </w:rPr>
          <w:t xml:space="preserve">[11]</w:t>
        </w:r>
      </w:hyperlink>
      <w:r>
        <w:t xml:space="preserve"> </w:t>
      </w:r>
      <w:r>
        <w:t xml:space="preserve">Synthea</w:t>
      </w:r>
    </w:p>
    <w:p>
      <w:pPr>
        <w:pStyle w:val="BodyText"/>
      </w:pPr>
      <w:hyperlink r:id="rId46">
        <w:r>
          <w:rPr>
            <w:rStyle w:val="Hyperlink"/>
          </w:rPr>
          <w:t xml:space="preserve">https://synthetichealth.github.io/synthea/</w:t>
        </w:r>
      </w:hyperlink>
    </w:p>
    <w:p>
      <w:pPr>
        <w:pStyle w:val="BodyText"/>
      </w:pPr>
      <w:hyperlink r:id="rId35">
        <w:r>
          <w:rPr>
            <w:rStyle w:val="Hyperlink"/>
          </w:rPr>
          <w:t xml:space="preserve">[12]</w:t>
        </w:r>
      </w:hyperlink>
      <w:r>
        <w:t xml:space="preserve"> </w:t>
      </w:r>
      <w:r>
        <w:t xml:space="preserve"> </w:t>
      </w:r>
      <w:r>
        <w:t xml:space="preserve">NHANES III (1988-1994) - Data Files</w:t>
      </w:r>
      <w:r>
        <w:t xml:space="preserve"> </w:t>
      </w:r>
    </w:p>
    <w:p>
      <w:pPr>
        <w:pStyle w:val="BodyText"/>
      </w:pPr>
      <w:hyperlink r:id="rId47">
        <w:r>
          <w:rPr>
            <w:rStyle w:val="Hyperlink"/>
          </w:rPr>
          <w:t xml:space="preserve">https://wwwn.cdc.gov/nchs/nhanes/nhanes3/datafiles.aspx</w:t>
        </w:r>
      </w:hyperlink>
    </w:p>
    <w:p>
      <w:pPr>
        <w:pStyle w:val="BodyText"/>
      </w:pPr>
      <w:hyperlink r:id="rId36">
        <w:r>
          <w:rPr>
            <w:rStyle w:val="Hyperlink"/>
          </w:rPr>
          <w:t xml:space="preserve">[13]</w:t>
        </w:r>
      </w:hyperlink>
      <w:r>
        <w:t xml:space="preserve"> </w:t>
      </w:r>
      <w:r>
        <w:t xml:space="preserve">Result with lab location</w:t>
      </w:r>
    </w:p>
    <w:p>
      <w:pPr>
        <w:pStyle w:val="BodyText"/>
      </w:pPr>
      <w:hyperlink r:id="rId48">
        <w:r>
          <w:rPr>
            <w:rStyle w:val="Hyperlink"/>
          </w:rPr>
          <w:t xml:space="preserve">https://cdasearch.hl7.org/examples/view/Results/Result%20with%20lab%20location</w:t>
        </w:r>
      </w:hyperlink>
    </w:p>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cdasearch.hl7.org/examples/view/Results/Result%20with%20lab%20location" TargetMode="External" /><Relationship Type="http://schemas.openxmlformats.org/officeDocument/2006/relationships/hyperlink" Id="rId36" Target="https://cdasearch.hl7.org/examples/view/Results/Result%20with%20lab%20location#:~:text=ID%3D%22_ea838e08,Range%27%20is%20in%20observation" TargetMode="External" /><Relationship Type="http://schemas.openxmlformats.org/officeDocument/2006/relationships/hyperlink" Id="rId42" Target="https://code-medical-ethics.ama-assn.org/ethics-opinions/reporting-clinical-test-results" TargetMode="External" /><Relationship Type="http://schemas.openxmlformats.org/officeDocument/2006/relationships/hyperlink" Id="rId28" Target="https://code-medical-ethics.ama-assn.org/ethics-opinions/reporting-clinical-test-results#:~:text=3,informed%20consent%20to%20future%20treatment" TargetMode="External" /><Relationship Type="http://schemas.openxmlformats.org/officeDocument/2006/relationships/hyperlink" Id="rId45" Target="https://iclg.com/practice-areas/digital-health-laws-and-regulations/india" TargetMode="External" /><Relationship Type="http://schemas.openxmlformats.org/officeDocument/2006/relationships/hyperlink" Id="rId32" Target="https://iclg.com/practice-areas/digital-health-laws-and-regulations/india#:~:text=Strategy%20for%20Artificial%20Intelligence%20outlines,global%20health%20and%20societal%20resilience" TargetMode="External" /><Relationship Type="http://schemas.openxmlformats.org/officeDocument/2006/relationships/hyperlink" Id="rId39" Target="https://medlineplus.gov/lab-tests/how-to-understand-your-lab-results/" TargetMode="External" /><Relationship Type="http://schemas.openxmlformats.org/officeDocument/2006/relationships/hyperlink" Id="rId23" Target="https://medlineplus.gov/lab-tests/how-to-understand-your-lab-results/#:~:text=,your%20risk%20for%20%2023" TargetMode="External" /><Relationship Type="http://schemas.openxmlformats.org/officeDocument/2006/relationships/hyperlink" Id="rId21" Target="https://medlineplus.gov/lab-tests/how-to-understand-your-lab-results/#:~:text=A%20blood%20glucose%20test%20,used%20to%20diagnose%20the%20disease" TargetMode="External" /><Relationship Type="http://schemas.openxmlformats.org/officeDocument/2006/relationships/hyperlink" Id="rId46" Target="https://synthetichealth.github.io/synthea/" TargetMode="External" /><Relationship Type="http://schemas.openxmlformats.org/officeDocument/2006/relationships/hyperlink" Id="rId34" Target="https://synthetichealth.github.io/synthea/#:~:text=For%20each%20synthetic%20patient%2C%20Synthea,CDA%20and%20CSV" TargetMode="External" /><Relationship Type="http://schemas.openxmlformats.org/officeDocument/2006/relationships/hyperlink" Id="rId41" Target="https://www.healthline.com/health/blood-tests" TargetMode="External" /><Relationship Type="http://schemas.openxmlformats.org/officeDocument/2006/relationships/hyperlink" Id="rId25" Target="https://www.healthline.com/health/blood-tests#:~:text=Blood%20tests%20can%20help%20a,failure%2C%20HIV%2C%20cancer%2C%20and%20diabetes" TargetMode="External" /><Relationship Type="http://schemas.openxmlformats.org/officeDocument/2006/relationships/hyperlink" Id="rId44" Target="https://www.mohfw.gov.in/?q=en/pressrelease-87" TargetMode="External" /><Relationship Type="http://schemas.openxmlformats.org/officeDocument/2006/relationships/hyperlink" Id="rId31" Target="https://www.mohfw.gov.in/?q=en/pressrelease-87#:~:text=Data%20Privacy%20and%20Security%3A%C2%A0Security%2C%20confidentiality%2C,of%20patient%20related%20health%20information" TargetMode="External" /><Relationship Type="http://schemas.openxmlformats.org/officeDocument/2006/relationships/hyperlink" Id="rId40" Target="https://www.nhlbi.nih.gov/health/blood-tests" TargetMode="External" /><Relationship Type="http://schemas.openxmlformats.org/officeDocument/2006/relationships/hyperlink" Id="rId24" Target="https://www.nhlbi.nih.gov/health/blood-tests#:~:text=,cuts%20or%20breaks%20on%20blood" TargetMode="External" /><Relationship Type="http://schemas.openxmlformats.org/officeDocument/2006/relationships/hyperlink" Id="rId22" Target="https://www.nhlbi.nih.gov/health/blood-tests#:~:text=Lipoprotein%20panel" TargetMode="External" /><Relationship Type="http://schemas.openxmlformats.org/officeDocument/2006/relationships/hyperlink" Id="rId26" Target="https://www.nhlbi.nih.gov/health/blood-tests#:~:text=enzyme%20tests,CK%29%20tests" TargetMode="External" /><Relationship Type="http://schemas.openxmlformats.org/officeDocument/2006/relationships/hyperlink" Id="rId43" Target="https://www.nmc.org.in/rules-regulations/code-of-medical-ethics-regulations-2002/" TargetMode="External" /><Relationship Type="http://schemas.openxmlformats.org/officeDocument/2006/relationships/hyperlink" Id="rId29" Target="https://www.nmc.org.in/rules-regulations/code-of-medical-ethics-regulations-2002/#:~:text=The%20physician%20should%20neither%20exaggerate,the%20patient%20and%20the%20family" TargetMode="External" /><Relationship Type="http://schemas.openxmlformats.org/officeDocument/2006/relationships/hyperlink" Id="rId47" Target="https://wwwn.cdc.gov/nchs/nhanes/nhanes3/datafiles.aspx" TargetMode="External" /><Relationship Type="http://schemas.openxmlformats.org/officeDocument/2006/relationships/hyperlink" Id="rId35" Target="https://wwwn.cdc.gov/nchs/nhanes/nhanes3/datafiles.aspx#:~:text=Laboratory%20File%20Usage%20Notes%20,326" TargetMode="External" /></Relationships>
</file>

<file path=word/_rels/footnotes.xml.rels><?xml version="1.0" encoding="UTF-8"?><Relationships xmlns="http://schemas.openxmlformats.org/package/2006/relationships"><Relationship Type="http://schemas.openxmlformats.org/officeDocument/2006/relationships/hyperlink" Id="rId48" Target="https://cdasearch.hl7.org/examples/view/Results/Result%20with%20lab%20location" TargetMode="External" /><Relationship Type="http://schemas.openxmlformats.org/officeDocument/2006/relationships/hyperlink" Id="rId36" Target="https://cdasearch.hl7.org/examples/view/Results/Result%20with%20lab%20location#:~:text=ID%3D%22_ea838e08,Range%27%20is%20in%20observation" TargetMode="External" /><Relationship Type="http://schemas.openxmlformats.org/officeDocument/2006/relationships/hyperlink" Id="rId42" Target="https://code-medical-ethics.ama-assn.org/ethics-opinions/reporting-clinical-test-results" TargetMode="External" /><Relationship Type="http://schemas.openxmlformats.org/officeDocument/2006/relationships/hyperlink" Id="rId28" Target="https://code-medical-ethics.ama-assn.org/ethics-opinions/reporting-clinical-test-results#:~:text=3,informed%20consent%20to%20future%20treatment" TargetMode="External" /><Relationship Type="http://schemas.openxmlformats.org/officeDocument/2006/relationships/hyperlink" Id="rId45" Target="https://iclg.com/practice-areas/digital-health-laws-and-regulations/india" TargetMode="External" /><Relationship Type="http://schemas.openxmlformats.org/officeDocument/2006/relationships/hyperlink" Id="rId32" Target="https://iclg.com/practice-areas/digital-health-laws-and-regulations/india#:~:text=Strategy%20for%20Artificial%20Intelligence%20outlines,global%20health%20and%20societal%20resilience" TargetMode="External" /><Relationship Type="http://schemas.openxmlformats.org/officeDocument/2006/relationships/hyperlink" Id="rId39" Target="https://medlineplus.gov/lab-tests/how-to-understand-your-lab-results/" TargetMode="External" /><Relationship Type="http://schemas.openxmlformats.org/officeDocument/2006/relationships/hyperlink" Id="rId23" Target="https://medlineplus.gov/lab-tests/how-to-understand-your-lab-results/#:~:text=,your%20risk%20for%20%2023" TargetMode="External" /><Relationship Type="http://schemas.openxmlformats.org/officeDocument/2006/relationships/hyperlink" Id="rId21" Target="https://medlineplus.gov/lab-tests/how-to-understand-your-lab-results/#:~:text=A%20blood%20glucose%20test%20,used%20to%20diagnose%20the%20disease" TargetMode="External" /><Relationship Type="http://schemas.openxmlformats.org/officeDocument/2006/relationships/hyperlink" Id="rId46" Target="https://synthetichealth.github.io/synthea/" TargetMode="External" /><Relationship Type="http://schemas.openxmlformats.org/officeDocument/2006/relationships/hyperlink" Id="rId34" Target="https://synthetichealth.github.io/synthea/#:~:text=For%20each%20synthetic%20patient%2C%20Synthea,CDA%20and%20CSV" TargetMode="External" /><Relationship Type="http://schemas.openxmlformats.org/officeDocument/2006/relationships/hyperlink" Id="rId41" Target="https://www.healthline.com/health/blood-tests" TargetMode="External" /><Relationship Type="http://schemas.openxmlformats.org/officeDocument/2006/relationships/hyperlink" Id="rId25" Target="https://www.healthline.com/health/blood-tests#:~:text=Blood%20tests%20can%20help%20a,failure%2C%20HIV%2C%20cancer%2C%20and%20diabetes" TargetMode="External" /><Relationship Type="http://schemas.openxmlformats.org/officeDocument/2006/relationships/hyperlink" Id="rId44" Target="https://www.mohfw.gov.in/?q=en/pressrelease-87" TargetMode="External" /><Relationship Type="http://schemas.openxmlformats.org/officeDocument/2006/relationships/hyperlink" Id="rId31" Target="https://www.mohfw.gov.in/?q=en/pressrelease-87#:~:text=Data%20Privacy%20and%20Security%3A%C2%A0Security%2C%20confidentiality%2C,of%20patient%20related%20health%20information" TargetMode="External" /><Relationship Type="http://schemas.openxmlformats.org/officeDocument/2006/relationships/hyperlink" Id="rId40" Target="https://www.nhlbi.nih.gov/health/blood-tests" TargetMode="External" /><Relationship Type="http://schemas.openxmlformats.org/officeDocument/2006/relationships/hyperlink" Id="rId24" Target="https://www.nhlbi.nih.gov/health/blood-tests#:~:text=,cuts%20or%20breaks%20on%20blood" TargetMode="External" /><Relationship Type="http://schemas.openxmlformats.org/officeDocument/2006/relationships/hyperlink" Id="rId22" Target="https://www.nhlbi.nih.gov/health/blood-tests#:~:text=Lipoprotein%20panel" TargetMode="External" /><Relationship Type="http://schemas.openxmlformats.org/officeDocument/2006/relationships/hyperlink" Id="rId26" Target="https://www.nhlbi.nih.gov/health/blood-tests#:~:text=enzyme%20tests,CK%29%20tests" TargetMode="External" /><Relationship Type="http://schemas.openxmlformats.org/officeDocument/2006/relationships/hyperlink" Id="rId43" Target="https://www.nmc.org.in/rules-regulations/code-of-medical-ethics-regulations-2002/" TargetMode="External" /><Relationship Type="http://schemas.openxmlformats.org/officeDocument/2006/relationships/hyperlink" Id="rId29" Target="https://www.nmc.org.in/rules-regulations/code-of-medical-ethics-regulations-2002/#:~:text=The%20physician%20should%20neither%20exaggerate,the%20patient%20and%20the%20family" TargetMode="External" /><Relationship Type="http://schemas.openxmlformats.org/officeDocument/2006/relationships/hyperlink" Id="rId47" Target="https://wwwn.cdc.gov/nchs/nhanes/nhanes3/datafiles.aspx" TargetMode="External" /><Relationship Type="http://schemas.openxmlformats.org/officeDocument/2006/relationships/hyperlink" Id="rId35" Target="https://wwwn.cdc.gov/nchs/nhanes/nhanes3/datafiles.aspx#:~:text=Laboratory%20File%20Usage%20Notes%20,3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2025-08-22T06:29:47Z</dcterms:created>
  <dcterms:modified xsi:type="dcterms:W3CDTF">2025-08-22T06:29:47Z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